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7F469" w14:textId="1F9B271A" w:rsidR="002D7188" w:rsidRDefault="00D2066D" w:rsidP="00AD7F87">
      <w:pPr>
        <w:spacing w:line="50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120E18">
        <w:rPr>
          <w:rFonts w:ascii="游ゴシック" w:eastAsia="游ゴシック" w:hAnsi="游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ABF83D" wp14:editId="165F0392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48949" w14:textId="4B166977" w:rsidR="00EA446D" w:rsidRPr="00120E18" w:rsidRDefault="0076016A" w:rsidP="002D7188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0F5AC4" w:rsidRPr="00120E18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586A3D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EA446D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330F95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082489" w:rsidRPr="00120E1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BF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27D48949" w14:textId="4B166977" w:rsidR="00EA446D" w:rsidRPr="00120E18" w:rsidRDefault="0076016A" w:rsidP="002D7188">
                      <w:pPr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20</w:t>
                      </w:r>
                      <w:r w:rsidR="000F5AC4" w:rsidRPr="00120E18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2</w:t>
                      </w:r>
                      <w:r w:rsidR="00586A3D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4</w:t>
                      </w:r>
                      <w:r w:rsidR="00EA446D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年</w:t>
                      </w:r>
                      <w:r w:rsidR="00330F95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4</w:t>
                      </w:r>
                      <w:r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月</w:t>
                      </w:r>
                      <w:r w:rsidR="00082489" w:rsidRPr="00120E18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120E18">
        <w:rPr>
          <w:rFonts w:ascii="游ゴシック" w:eastAsia="游ゴシック" w:hAnsi="游ゴシック" w:hint="eastAsia"/>
          <w:b/>
          <w:noProof/>
          <w:sz w:val="32"/>
          <w:szCs w:val="32"/>
        </w:rPr>
        <w:t>製品別比較表（案</w:t>
      </w:r>
      <w:r w:rsidR="007B5CF2" w:rsidRPr="00120E18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p w14:paraId="1E37E651" w14:textId="77777777" w:rsidR="008136B6" w:rsidRPr="00120E18" w:rsidRDefault="008136B6" w:rsidP="008136B6">
      <w:pPr>
        <w:spacing w:line="300" w:lineRule="exact"/>
        <w:rPr>
          <w:rFonts w:ascii="游ゴシック" w:eastAsia="游ゴシック" w:hAnsi="游ゴシック"/>
          <w:sz w:val="28"/>
          <w:szCs w:val="28"/>
        </w:rPr>
      </w:pPr>
    </w:p>
    <w:tbl>
      <w:tblPr>
        <w:tblW w:w="1049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2"/>
        <w:gridCol w:w="2347"/>
        <w:gridCol w:w="2347"/>
        <w:gridCol w:w="2133"/>
        <w:gridCol w:w="2561"/>
      </w:tblGrid>
      <w:tr w:rsidR="00F024B2" w:rsidRPr="00791B67" w14:paraId="59C4058A" w14:textId="77777777" w:rsidTr="004C396D">
        <w:trPr>
          <w:trHeight w:val="350"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9481F62" w14:textId="7777777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E8D822" w14:textId="06F27C67" w:rsidR="002D7188" w:rsidRPr="00120E18" w:rsidRDefault="002D718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後</w:t>
            </w:r>
            <w:r w:rsidR="008136B6">
              <w:rPr>
                <w:rFonts w:ascii="游ゴシック" w:eastAsia="游ゴシック" w:hAnsi="游ゴシック" w:cstheme="majorHAnsi" w:hint="eastAsia"/>
                <w:b/>
                <w:szCs w:val="21"/>
              </w:rPr>
              <w:t xml:space="preserve"> </w:t>
            </w: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発</w:t>
            </w:r>
            <w:r w:rsidR="008136B6">
              <w:rPr>
                <w:rFonts w:ascii="游ゴシック" w:eastAsia="游ゴシック" w:hAnsi="游ゴシック" w:cstheme="majorHAnsi" w:hint="eastAsia"/>
                <w:b/>
                <w:szCs w:val="21"/>
              </w:rPr>
              <w:t xml:space="preserve"> </w:t>
            </w: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品</w:t>
            </w:r>
          </w:p>
        </w:tc>
        <w:tc>
          <w:tcPr>
            <w:tcW w:w="4694" w:type="dxa"/>
            <w:gridSpan w:val="2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5B8488D" w14:textId="77777777" w:rsidR="002D7188" w:rsidRPr="00120E18" w:rsidRDefault="00AD7F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</w:tc>
      </w:tr>
      <w:tr w:rsidR="00486E67" w:rsidRPr="00791B67" w14:paraId="0A04E761" w14:textId="77777777" w:rsidTr="004C396D">
        <w:trPr>
          <w:trHeight w:val="718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50156170" w14:textId="77777777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会社名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21BC3D2" w14:textId="77777777" w:rsidR="008136B6" w:rsidRPr="008136B6" w:rsidRDefault="008136B6" w:rsidP="008136B6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8136B6">
              <w:rPr>
                <w:rFonts w:ascii="游ゴシック" w:eastAsia="游ゴシック" w:hAnsi="游ゴシック" w:cstheme="majorHAnsi" w:hint="eastAsia"/>
                <w:szCs w:val="21"/>
              </w:rPr>
              <w:t>（製造販売元）株式会社ビオメディクス</w:t>
            </w:r>
          </w:p>
          <w:p w14:paraId="5F47EB83" w14:textId="2966ECE4" w:rsidR="00486E67" w:rsidRPr="00120E18" w:rsidRDefault="008136B6" w:rsidP="008136B6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8136B6">
              <w:rPr>
                <w:rFonts w:ascii="游ゴシック" w:eastAsia="游ゴシック" w:hAnsi="游ゴシック" w:cstheme="majorHAnsi" w:hint="eastAsia"/>
                <w:szCs w:val="21"/>
              </w:rPr>
              <w:t>（販売元）株式会社フェルゼンファーマ</w:t>
            </w:r>
          </w:p>
        </w:tc>
        <w:tc>
          <w:tcPr>
            <w:tcW w:w="4694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522FB05" w14:textId="7D8AC8E8" w:rsidR="00486E67" w:rsidRPr="00120E18" w:rsidRDefault="00486E6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</w:tr>
      <w:tr w:rsidR="00A1192C" w:rsidRPr="00791B67" w14:paraId="01938504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2D31AD" w14:textId="77777777" w:rsidR="00A1192C" w:rsidRPr="00120E18" w:rsidRDefault="00A1192C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製品名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D7B7F3" w14:textId="77777777" w:rsidR="00A1192C" w:rsidRPr="00120E18" w:rsidRDefault="00BD5087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カプセル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0.5m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g</w:t>
            </w: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AV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「BMD」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B8DA17" w14:textId="77777777" w:rsidR="00A1192C" w:rsidRPr="00120E18" w:rsidRDefault="00BD5087" w:rsidP="00120E18">
            <w:pPr>
              <w:spacing w:line="280" w:lineRule="exact"/>
              <w:ind w:leftChars="-7" w:hangingChars="7" w:hanging="15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デュタステリドカプセル0.5mg</w:t>
            </w:r>
            <w:r w:rsidR="00A1192C" w:rsidRPr="00120E18">
              <w:rPr>
                <w:rFonts w:ascii="游ゴシック" w:eastAsia="游ゴシック" w:hAnsi="游ゴシック" w:cstheme="majorHAnsi"/>
                <w:szCs w:val="21"/>
              </w:rPr>
              <w:t>標準製剤</w:t>
            </w:r>
          </w:p>
        </w:tc>
      </w:tr>
      <w:tr w:rsidR="00471ADA" w:rsidRPr="00791B67" w14:paraId="2DAA3E49" w14:textId="77777777" w:rsidTr="008136B6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62AA12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薬　価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3302F" w14:textId="71B3D0B7" w:rsidR="00471ADA" w:rsidRPr="00120E18" w:rsidRDefault="00906586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29</w:t>
            </w:r>
            <w:r w:rsidR="00933B07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2</w:t>
            </w:r>
            <w:r w:rsidR="00933B07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0</w:t>
            </w:r>
            <w:r w:rsidR="008136B6" w:rsidRPr="008136B6">
              <w:rPr>
                <w:rFonts w:ascii="游ゴシック" w:eastAsia="游ゴシック" w:hAnsi="游ゴシック" w:cstheme="majorHAnsi" w:hint="eastAsia"/>
                <w:color w:val="000000" w:themeColor="text1"/>
                <w:szCs w:val="21"/>
              </w:rPr>
              <w:t>円／カプセル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FC5088" w14:textId="41DDB5BD" w:rsidR="00471ADA" w:rsidRPr="00120E18" w:rsidRDefault="00906586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73</w:t>
            </w:r>
            <w:r w:rsidR="00933B07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.</w:t>
            </w:r>
            <w:r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1</w:t>
            </w:r>
            <w:r w:rsidR="00933B07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0</w:t>
            </w:r>
            <w:r w:rsidR="00471ADA" w:rsidRPr="00120E18">
              <w:rPr>
                <w:rFonts w:ascii="游ゴシック" w:eastAsia="游ゴシック" w:hAnsi="游ゴシック" w:cstheme="majorHAnsi"/>
                <w:color w:val="000000"/>
                <w:szCs w:val="21"/>
              </w:rPr>
              <w:t>円／カプセル</w:t>
            </w:r>
          </w:p>
        </w:tc>
      </w:tr>
      <w:tr w:rsidR="00471ADA" w:rsidRPr="00791B67" w14:paraId="03A4B8C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72437E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規　格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3829541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 xml:space="preserve">１カプセル中 </w:t>
            </w:r>
            <w:r w:rsidR="00BD5087" w:rsidRPr="00120E18">
              <w:rPr>
                <w:rFonts w:ascii="游ゴシック" w:eastAsia="游ゴシック" w:hAnsi="游ゴシック" w:cstheme="majorHAnsi" w:hint="eastAsia"/>
                <w:szCs w:val="21"/>
              </w:rPr>
              <w:t>デュタステリド</w:t>
            </w:r>
            <w:r w:rsidR="00BD5087" w:rsidRPr="00120E18">
              <w:rPr>
                <w:rFonts w:ascii="游ゴシック" w:eastAsia="游ゴシック" w:hAnsi="游ゴシック" w:cstheme="majorHAnsi"/>
                <w:szCs w:val="21"/>
              </w:rPr>
              <w:t>0.5mg</w:t>
            </w:r>
            <w:r w:rsidRPr="00120E18">
              <w:rPr>
                <w:rFonts w:ascii="游ゴシック" w:eastAsia="游ゴシック" w:hAnsi="游ゴシック" w:cstheme="majorHAnsi"/>
                <w:szCs w:val="21"/>
              </w:rPr>
              <w:t>含有</w:t>
            </w:r>
          </w:p>
        </w:tc>
      </w:tr>
      <w:tr w:rsidR="00471ADA" w:rsidRPr="00791B67" w14:paraId="2308EEE1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508B4B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  <w:fitText w:val="579" w:id="-377303296"/>
              </w:rPr>
              <w:t>効</w:t>
            </w:r>
          </w:p>
          <w:p w14:paraId="69FCAB83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分類名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CB6AE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szCs w:val="21"/>
              </w:rPr>
              <w:t>その他の</w:t>
            </w:r>
            <w:r w:rsidR="00BD5087" w:rsidRPr="00120E18">
              <w:rPr>
                <w:rFonts w:ascii="游ゴシック" w:eastAsia="游ゴシック" w:hAnsi="游ゴシック" w:cstheme="majorHAnsi" w:hint="eastAsia"/>
                <w:szCs w:val="21"/>
              </w:rPr>
              <w:t>ホルモン剤（抗ホルモン剤を含む。）</w:t>
            </w:r>
          </w:p>
        </w:tc>
      </w:tr>
      <w:tr w:rsidR="00BD5087" w:rsidRPr="00791B67" w14:paraId="420C3C9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8C0F406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能</w:t>
            </w:r>
          </w:p>
          <w:p w14:paraId="0D5E4C32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効　果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9DCE9C" w14:textId="77777777" w:rsidR="00BD5087" w:rsidRPr="00120E18" w:rsidRDefault="00BD5087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前立腺肥大症</w:t>
            </w:r>
          </w:p>
        </w:tc>
      </w:tr>
      <w:tr w:rsidR="004C396D" w:rsidRPr="00791B67" w14:paraId="3D6D7BD2" w14:textId="77777777" w:rsidTr="004C396D">
        <w:trPr>
          <w:trHeight w:val="718"/>
        </w:trPr>
        <w:tc>
          <w:tcPr>
            <w:tcW w:w="110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A7C774A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法</w:t>
            </w:r>
          </w:p>
          <w:p w14:paraId="43F952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  <w:t>用　量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D78747" w14:textId="77777777" w:rsidR="004C396D" w:rsidRPr="00120E18" w:rsidRDefault="004C396D" w:rsidP="00120E18">
            <w:pPr>
              <w:spacing w:line="280" w:lineRule="exact"/>
              <w:ind w:leftChars="-2" w:left="-4"/>
              <w:jc w:val="center"/>
              <w:rPr>
                <w:rFonts w:ascii="游ゴシック" w:eastAsia="游ゴシック" w:hAnsi="游ゴシック" w:cstheme="majorHAnsi"/>
                <w:color w:val="FF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通常、成人にはデュタステリドとして１回0.5mgを１日１回経口投与する。</w:t>
            </w:r>
          </w:p>
        </w:tc>
      </w:tr>
      <w:tr w:rsidR="00471ADA" w:rsidRPr="00791B67" w14:paraId="07D6A5A9" w14:textId="77777777" w:rsidTr="004C396D">
        <w:trPr>
          <w:trHeight w:val="1371"/>
        </w:trPr>
        <w:tc>
          <w:tcPr>
            <w:tcW w:w="110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33F6A4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添加物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14:paraId="6089B2C4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内容物：ジブチルヒドロキシトルエン、グリセリン脂肪酸エステル</w:t>
            </w:r>
          </w:p>
          <w:p w14:paraId="1D9BE418" w14:textId="77777777" w:rsidR="00BD5087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カプセル本体：ゼラチン、コハク化ゼラチン、</w:t>
            </w:r>
          </w:p>
          <w:p w14:paraId="008A2CDD" w14:textId="77777777" w:rsidR="00471ADA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濃グリセリン、酸化チタン</w:t>
            </w:r>
          </w:p>
        </w:tc>
        <w:tc>
          <w:tcPr>
            <w:tcW w:w="4694" w:type="dxa"/>
            <w:gridSpan w:val="2"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4FE7B9FB" w14:textId="77777777" w:rsidR="00471ADA" w:rsidRPr="00120E18" w:rsidRDefault="00BD5087" w:rsidP="00120E18">
            <w:pPr>
              <w:spacing w:line="280" w:lineRule="exact"/>
              <w:ind w:leftChars="-2" w:left="-4"/>
              <w:rPr>
                <w:rFonts w:ascii="游ゴシック" w:eastAsia="游ゴシック" w:hAnsi="游ゴシック" w:cstheme="majorHAnsi"/>
                <w:color w:val="000000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color w:val="000000"/>
                <w:szCs w:val="21"/>
              </w:rPr>
              <w:t>ジブチルヒドロキシトルエン、中鎖モノ・ジグリセリド、ゼラチン、グリセリン、濃グリセリン、酸化チタン、黄色三二酸化鉄、中鎖脂肪酸トリグリセリド、レシチン</w:t>
            </w:r>
          </w:p>
        </w:tc>
      </w:tr>
      <w:tr w:rsidR="004C396D" w:rsidRPr="00791B67" w14:paraId="59D49111" w14:textId="77777777" w:rsidTr="004C396D">
        <w:trPr>
          <w:trHeight w:val="321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09DEA4F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w w:val="91"/>
                <w:kern w:val="0"/>
                <w:szCs w:val="21"/>
                <w:fitText w:val="579" w:id="-85842943"/>
              </w:rPr>
              <w:t>性</w:t>
            </w:r>
            <w:r w:rsidRPr="00120E18">
              <w:rPr>
                <w:rFonts w:ascii="游ゴシック" w:eastAsia="游ゴシック" w:hAnsi="游ゴシック" w:cstheme="majorHAnsi" w:hint="eastAsia"/>
                <w:b/>
                <w:w w:val="91"/>
                <w:kern w:val="0"/>
                <w:szCs w:val="21"/>
                <w:fitText w:val="579" w:id="-85842943"/>
              </w:rPr>
              <w:t xml:space="preserve">　</w:t>
            </w:r>
            <w:r w:rsidRPr="00120E18">
              <w:rPr>
                <w:rFonts w:ascii="游ゴシック" w:eastAsia="游ゴシック" w:hAnsi="游ゴシック" w:cstheme="majorHAnsi"/>
                <w:b/>
                <w:spacing w:val="2"/>
                <w:w w:val="91"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14:paraId="5532AF17" w14:textId="77777777" w:rsidR="004C396D" w:rsidRPr="00120E18" w:rsidRDefault="004C396D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淡黄白色不透明の</w:t>
            </w:r>
          </w:p>
          <w:p w14:paraId="1473EFC2" w14:textId="77777777" w:rsidR="004C396D" w:rsidRPr="00120E18" w:rsidRDefault="004C396D" w:rsidP="00120E18">
            <w:pPr>
              <w:spacing w:line="280" w:lineRule="exact"/>
              <w:ind w:leftChars="25" w:left="56" w:hanging="2"/>
              <w:jc w:val="left"/>
              <w:rPr>
                <w:rFonts w:ascii="游ゴシック" w:eastAsia="游ゴシック" w:hAnsi="游ゴシック" w:cstheme="majorHAnsi"/>
                <w:szCs w:val="21"/>
              </w:rPr>
            </w:pPr>
            <w:r w:rsidRPr="00120E18">
              <w:rPr>
                <w:rFonts w:ascii="游ゴシック" w:eastAsia="游ゴシック" w:hAnsi="游ゴシック" w:cstheme="majorHAnsi" w:hint="eastAsia"/>
                <w:szCs w:val="21"/>
              </w:rPr>
              <w:t>長楕円形の軟カプセル剤</w:t>
            </w:r>
          </w:p>
        </w:tc>
        <w:tc>
          <w:tcPr>
            <w:tcW w:w="2347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EC1964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長径 （mm）</w:t>
            </w:r>
          </w:p>
        </w:tc>
        <w:tc>
          <w:tcPr>
            <w:tcW w:w="2133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23AE1EF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短径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 xml:space="preserve"> （</w:t>
            </w: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mm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61" w:type="dxa"/>
            <w:tcBorders>
              <w:top w:val="single" w:sz="6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9E6E46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重量 （mg）</w:t>
            </w:r>
          </w:p>
        </w:tc>
      </w:tr>
      <w:tr w:rsidR="004C396D" w:rsidRPr="00791B67" w14:paraId="580A22B3" w14:textId="77777777" w:rsidTr="004C396D">
        <w:trPr>
          <w:trHeight w:val="243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CE109E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E605643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szCs w:val="21"/>
              </w:rPr>
            </w:pPr>
          </w:p>
        </w:tc>
        <w:tc>
          <w:tcPr>
            <w:tcW w:w="2347" w:type="dxa"/>
            <w:tcBorders>
              <w:top w:val="dotted" w:sz="4" w:space="0" w:color="auto"/>
            </w:tcBorders>
            <w:vAlign w:val="center"/>
          </w:tcPr>
          <w:p w14:paraId="30DA3284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33" w:type="dxa"/>
            <w:tcBorders>
              <w:top w:val="dotted" w:sz="4" w:space="0" w:color="auto"/>
            </w:tcBorders>
            <w:vAlign w:val="center"/>
          </w:tcPr>
          <w:p w14:paraId="3DD0B431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1" w:type="dxa"/>
            <w:tcBorders>
              <w:top w:val="dotted" w:sz="4" w:space="0" w:color="auto"/>
              <w:right w:val="single" w:sz="12" w:space="0" w:color="000000"/>
            </w:tcBorders>
            <w:vAlign w:val="center"/>
          </w:tcPr>
          <w:p w14:paraId="0A9D8529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  <w:t>約</w:t>
            </w:r>
            <w:r w:rsidRPr="00120E18">
              <w:rPr>
                <w:rFonts w:ascii="游ゴシック" w:eastAsia="游ゴシック" w:hAnsi="游ゴシック" w:cstheme="majorHAnsi" w:hint="eastAsia"/>
                <w:color w:val="000000"/>
                <w:kern w:val="0"/>
                <w:szCs w:val="21"/>
              </w:rPr>
              <w:t>593</w:t>
            </w:r>
          </w:p>
        </w:tc>
      </w:tr>
      <w:tr w:rsidR="004C396D" w:rsidRPr="00791B67" w14:paraId="0CBA6E6B" w14:textId="77777777" w:rsidTr="00732E2B">
        <w:trPr>
          <w:trHeight w:val="887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E21EB2" w14:textId="77777777" w:rsidR="004C396D" w:rsidRPr="00120E18" w:rsidRDefault="004C396D" w:rsidP="00120E18">
            <w:pPr>
              <w:spacing w:line="280" w:lineRule="exact"/>
              <w:rPr>
                <w:rFonts w:ascii="游ゴシック" w:eastAsia="游ゴシック" w:hAnsi="游ゴシック" w:cstheme="majorHAnsi"/>
                <w:b/>
                <w:kern w:val="0"/>
                <w:szCs w:val="21"/>
              </w:rPr>
            </w:pPr>
          </w:p>
        </w:tc>
        <w:tc>
          <w:tcPr>
            <w:tcW w:w="2347" w:type="dxa"/>
            <w:vMerge/>
            <w:tcBorders>
              <w:left w:val="single" w:sz="12" w:space="0" w:color="000000"/>
            </w:tcBorders>
          </w:tcPr>
          <w:p w14:paraId="58C05B32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</w:p>
        </w:tc>
        <w:tc>
          <w:tcPr>
            <w:tcW w:w="7041" w:type="dxa"/>
            <w:gridSpan w:val="3"/>
            <w:tcBorders>
              <w:right w:val="single" w:sz="12" w:space="0" w:color="000000"/>
            </w:tcBorders>
          </w:tcPr>
          <w:p w14:paraId="66776068" w14:textId="77777777" w:rsidR="004C396D" w:rsidRPr="00120E18" w:rsidRDefault="004C396D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color w:val="000000"/>
                <w:kern w:val="0"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5618AF7C" wp14:editId="6A7AA14C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69215</wp:posOffset>
                  </wp:positionV>
                  <wp:extent cx="1444625" cy="457200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5B3E" w:rsidRPr="00791B67" w14:paraId="2FC1B60C" w14:textId="77777777" w:rsidTr="004C396D">
        <w:tblPrEx>
          <w:tblCellMar>
            <w:left w:w="99" w:type="dxa"/>
            <w:right w:w="99" w:type="dxa"/>
          </w:tblCellMar>
        </w:tblPrEx>
        <w:trPr>
          <w:trHeight w:val="3962"/>
        </w:trPr>
        <w:tc>
          <w:tcPr>
            <w:tcW w:w="110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2AC347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標準製剤</w:t>
            </w:r>
          </w:p>
          <w:p w14:paraId="6E9274C6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との</w:t>
            </w:r>
          </w:p>
          <w:p w14:paraId="0396C50C" w14:textId="77777777" w:rsidR="008B5B3E" w:rsidRPr="00120E18" w:rsidRDefault="008B5B3E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同等性</w:t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A120D3D" w14:textId="77777777" w:rsidR="008B5B3E" w:rsidRPr="00120E18" w:rsidRDefault="00BE15D8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noProof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 w:hint="eastAsia"/>
                <w:noProof/>
                <w:sz w:val="20"/>
                <w:szCs w:val="20"/>
              </w:rPr>
              <w:t>【溶出試験（試験液、pH4.0（50rpm））】</w:t>
            </w:r>
          </w:p>
          <w:p w14:paraId="3192B99F" w14:textId="77777777" w:rsidR="00BE15D8" w:rsidRPr="00120E18" w:rsidRDefault="00BE15D8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0" locked="0" layoutInCell="1" allowOverlap="1" wp14:anchorId="05E397B9" wp14:editId="07404FEE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416560</wp:posOffset>
                  </wp:positionV>
                  <wp:extent cx="2661694" cy="1772198"/>
                  <wp:effectExtent l="0" t="0" r="571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"/>
                          <a:stretch/>
                        </pic:blipFill>
                        <pic:spPr bwMode="auto">
                          <a:xfrm>
                            <a:off x="0" y="0"/>
                            <a:ext cx="2661694" cy="1772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94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4E7E825" w14:textId="77777777" w:rsidR="008B5B3E" w:rsidRPr="00120E18" w:rsidRDefault="008B5B3E" w:rsidP="00120E18">
            <w:pPr>
              <w:spacing w:line="280" w:lineRule="exact"/>
              <w:ind w:leftChars="-3" w:left="-6"/>
              <w:jc w:val="center"/>
              <w:rPr>
                <w:rFonts w:ascii="游ゴシック" w:eastAsia="游ゴシック" w:hAnsi="游ゴシック" w:cstheme="majorHAnsi"/>
                <w:sz w:val="20"/>
                <w:szCs w:val="20"/>
              </w:rPr>
            </w:pPr>
            <w:r w:rsidRPr="00120E18">
              <w:rPr>
                <w:rFonts w:ascii="游ゴシック" w:eastAsia="游ゴシック" w:hAnsi="游ゴシック"/>
                <w:noProof/>
              </w:rPr>
              <w:drawing>
                <wp:anchor distT="0" distB="0" distL="114300" distR="114300" simplePos="0" relativeHeight="251691008" behindDoc="0" locked="0" layoutInCell="1" allowOverlap="1" wp14:anchorId="49470805" wp14:editId="504A71F4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393065</wp:posOffset>
                  </wp:positionV>
                  <wp:extent cx="2657202" cy="2069895"/>
                  <wp:effectExtent l="0" t="0" r="0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14" t="16569" r="16013" b="9756"/>
                          <a:stretch/>
                        </pic:blipFill>
                        <pic:spPr bwMode="auto">
                          <a:xfrm>
                            <a:off x="0" y="0"/>
                            <a:ext cx="2657202" cy="2069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0E18">
              <w:rPr>
                <w:rFonts w:ascii="游ゴシック" w:eastAsia="游ゴシック" w:hAnsi="游ゴシック" w:cstheme="majorHAnsi"/>
                <w:sz w:val="20"/>
                <w:szCs w:val="20"/>
              </w:rPr>
              <w:t>【血漿中濃度比較試験（人、空腹時）】</w:t>
            </w:r>
          </w:p>
        </w:tc>
      </w:tr>
      <w:tr w:rsidR="00BE15D8" w:rsidRPr="00791B67" w14:paraId="1EAD2CA7" w14:textId="77777777" w:rsidTr="004C396D">
        <w:trPr>
          <w:trHeight w:val="702"/>
        </w:trPr>
        <w:tc>
          <w:tcPr>
            <w:tcW w:w="1102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71C5B3" w14:textId="77777777" w:rsidR="00BE15D8" w:rsidRPr="00120E18" w:rsidRDefault="00BE15D8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  <w:b/>
                <w:szCs w:val="21"/>
              </w:rPr>
            </w:pPr>
          </w:p>
        </w:tc>
        <w:tc>
          <w:tcPr>
            <w:tcW w:w="4694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68BA279C" w14:textId="77777777" w:rsidR="00BE15D8" w:rsidRPr="00120E18" w:rsidRDefault="00BE15D8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 w:hint="eastAsia"/>
              </w:rPr>
              <w:t>「後発医薬品の生物学的同等性試験ガイドライン」に基づき</w:t>
            </w:r>
            <w:r w:rsidR="000E67DE" w:rsidRPr="00120E18">
              <w:rPr>
                <w:rFonts w:ascii="游ゴシック" w:eastAsia="游ゴシック" w:hAnsi="游ゴシック" w:cstheme="majorHAnsi" w:hint="eastAsia"/>
              </w:rPr>
              <w:t>、</w:t>
            </w:r>
            <w:r w:rsidRPr="00120E18">
              <w:rPr>
                <w:rFonts w:ascii="游ゴシック" w:eastAsia="游ゴシック" w:hAnsi="游ゴシック" w:cstheme="majorHAnsi" w:hint="eastAsia"/>
              </w:rPr>
              <w:t>両製剤の溶出挙動は同等であると判断された。</w:t>
            </w:r>
          </w:p>
        </w:tc>
        <w:tc>
          <w:tcPr>
            <w:tcW w:w="4694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488E85BB" w14:textId="77777777" w:rsidR="00BE15D8" w:rsidRPr="00120E18" w:rsidRDefault="00BE15D8" w:rsidP="00120E18">
            <w:pPr>
              <w:spacing w:line="280" w:lineRule="exact"/>
              <w:ind w:leftChars="-15" w:left="-32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</w:rPr>
              <w:t>「後発医薬品の生物学的同等性試験ガイドライン」に基づき、両製剤は生物学的に同等であると確認された。</w:t>
            </w:r>
          </w:p>
        </w:tc>
      </w:tr>
      <w:tr w:rsidR="00471ADA" w:rsidRPr="00791B67" w14:paraId="0376A478" w14:textId="77777777" w:rsidTr="004C396D">
        <w:trPr>
          <w:trHeight w:val="1043"/>
        </w:trPr>
        <w:tc>
          <w:tcPr>
            <w:tcW w:w="110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96D4B6" w14:textId="77777777" w:rsidR="00471ADA" w:rsidRPr="00120E18" w:rsidRDefault="00471ADA" w:rsidP="00120E18">
            <w:pPr>
              <w:spacing w:line="280" w:lineRule="exact"/>
              <w:jc w:val="center"/>
              <w:rPr>
                <w:rFonts w:ascii="游ゴシック" w:eastAsia="游ゴシック" w:hAnsi="游ゴシック" w:cstheme="majorHAnsi"/>
              </w:rPr>
            </w:pPr>
            <w:r w:rsidRPr="00120E18">
              <w:rPr>
                <w:rFonts w:ascii="游ゴシック" w:eastAsia="游ゴシック" w:hAnsi="游ゴシック" w:cstheme="majorHAnsi"/>
                <w:b/>
                <w:szCs w:val="21"/>
              </w:rPr>
              <w:t>連絡先</w:t>
            </w:r>
          </w:p>
        </w:tc>
        <w:tc>
          <w:tcPr>
            <w:tcW w:w="9388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6B4659" w14:textId="77777777" w:rsidR="00471ADA" w:rsidRPr="00120E18" w:rsidRDefault="00471ADA" w:rsidP="00471ADA">
            <w:pPr>
              <w:rPr>
                <w:rFonts w:ascii="游ゴシック" w:eastAsia="游ゴシック" w:hAnsi="游ゴシック" w:cstheme="majorHAnsi"/>
              </w:rPr>
            </w:pPr>
          </w:p>
        </w:tc>
      </w:tr>
    </w:tbl>
    <w:p w14:paraId="799044CA" w14:textId="77777777" w:rsidR="009F53A3" w:rsidRPr="002A7EAA" w:rsidRDefault="009F53A3" w:rsidP="001A3F00"/>
    <w:sectPr w:rsidR="009F53A3" w:rsidRPr="002A7EAA" w:rsidSect="007F709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2FFA" w14:textId="77777777" w:rsidR="007F7097" w:rsidRDefault="007F7097" w:rsidP="004739A6">
      <w:r>
        <w:separator/>
      </w:r>
    </w:p>
  </w:endnote>
  <w:endnote w:type="continuationSeparator" w:id="0">
    <w:p w14:paraId="4BAA30C2" w14:textId="77777777" w:rsidR="007F7097" w:rsidRDefault="007F7097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9C84" w14:textId="77777777" w:rsidR="007F7097" w:rsidRDefault="007F7097" w:rsidP="004739A6">
      <w:r>
        <w:separator/>
      </w:r>
    </w:p>
  </w:footnote>
  <w:footnote w:type="continuationSeparator" w:id="0">
    <w:p w14:paraId="7FA1CD94" w14:textId="77777777" w:rsidR="007F7097" w:rsidRDefault="007F7097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1629735">
    <w:abstractNumId w:val="6"/>
  </w:num>
  <w:num w:numId="2" w16cid:durableId="16398195">
    <w:abstractNumId w:val="10"/>
  </w:num>
  <w:num w:numId="3" w16cid:durableId="798494235">
    <w:abstractNumId w:val="1"/>
  </w:num>
  <w:num w:numId="4" w16cid:durableId="1253078381">
    <w:abstractNumId w:val="4"/>
  </w:num>
  <w:num w:numId="5" w16cid:durableId="755397886">
    <w:abstractNumId w:val="9"/>
  </w:num>
  <w:num w:numId="6" w16cid:durableId="192575223">
    <w:abstractNumId w:val="0"/>
  </w:num>
  <w:num w:numId="7" w16cid:durableId="1974482154">
    <w:abstractNumId w:val="5"/>
  </w:num>
  <w:num w:numId="8" w16cid:durableId="810288973">
    <w:abstractNumId w:val="7"/>
  </w:num>
  <w:num w:numId="9" w16cid:durableId="339964178">
    <w:abstractNumId w:val="8"/>
  </w:num>
  <w:num w:numId="10" w16cid:durableId="1504051372">
    <w:abstractNumId w:val="3"/>
  </w:num>
  <w:num w:numId="11" w16cid:durableId="1119225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6F10"/>
    <w:rsid w:val="00054BFF"/>
    <w:rsid w:val="00056E38"/>
    <w:rsid w:val="00062FCC"/>
    <w:rsid w:val="000715B9"/>
    <w:rsid w:val="00082489"/>
    <w:rsid w:val="000827DD"/>
    <w:rsid w:val="000A5D2F"/>
    <w:rsid w:val="000C1BD3"/>
    <w:rsid w:val="000E075C"/>
    <w:rsid w:val="000E67DE"/>
    <w:rsid w:val="000F5AC4"/>
    <w:rsid w:val="000F75FA"/>
    <w:rsid w:val="00120E18"/>
    <w:rsid w:val="00127179"/>
    <w:rsid w:val="00162773"/>
    <w:rsid w:val="00177ED3"/>
    <w:rsid w:val="001A1A3B"/>
    <w:rsid w:val="001A263B"/>
    <w:rsid w:val="001A3F00"/>
    <w:rsid w:val="001A790E"/>
    <w:rsid w:val="001C3B22"/>
    <w:rsid w:val="001D1B86"/>
    <w:rsid w:val="001E1CA6"/>
    <w:rsid w:val="001F2664"/>
    <w:rsid w:val="001F7137"/>
    <w:rsid w:val="00200B65"/>
    <w:rsid w:val="002068E8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0F95"/>
    <w:rsid w:val="00336CB1"/>
    <w:rsid w:val="00353A58"/>
    <w:rsid w:val="00374B51"/>
    <w:rsid w:val="00387D7D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71ADA"/>
    <w:rsid w:val="004739A6"/>
    <w:rsid w:val="00474C7A"/>
    <w:rsid w:val="00481FFD"/>
    <w:rsid w:val="00483F97"/>
    <w:rsid w:val="00486E67"/>
    <w:rsid w:val="00495E9A"/>
    <w:rsid w:val="004C396D"/>
    <w:rsid w:val="004E5EAE"/>
    <w:rsid w:val="0050238E"/>
    <w:rsid w:val="00535C36"/>
    <w:rsid w:val="0055239F"/>
    <w:rsid w:val="00553983"/>
    <w:rsid w:val="00570093"/>
    <w:rsid w:val="005771D8"/>
    <w:rsid w:val="00586986"/>
    <w:rsid w:val="00586A3D"/>
    <w:rsid w:val="005A435B"/>
    <w:rsid w:val="005C1EDC"/>
    <w:rsid w:val="005C224E"/>
    <w:rsid w:val="005C79FC"/>
    <w:rsid w:val="005D331C"/>
    <w:rsid w:val="00615F8D"/>
    <w:rsid w:val="0061737B"/>
    <w:rsid w:val="00633315"/>
    <w:rsid w:val="006455B2"/>
    <w:rsid w:val="00645BD2"/>
    <w:rsid w:val="00645CE1"/>
    <w:rsid w:val="00650AA0"/>
    <w:rsid w:val="0066501A"/>
    <w:rsid w:val="0067705F"/>
    <w:rsid w:val="00690532"/>
    <w:rsid w:val="006A5858"/>
    <w:rsid w:val="006A59D7"/>
    <w:rsid w:val="006B1801"/>
    <w:rsid w:val="006D0AEE"/>
    <w:rsid w:val="006F2831"/>
    <w:rsid w:val="00710D1F"/>
    <w:rsid w:val="00732D06"/>
    <w:rsid w:val="007358D5"/>
    <w:rsid w:val="007401BD"/>
    <w:rsid w:val="007447EB"/>
    <w:rsid w:val="007554BA"/>
    <w:rsid w:val="0076016A"/>
    <w:rsid w:val="00773B7E"/>
    <w:rsid w:val="00775C20"/>
    <w:rsid w:val="00791B67"/>
    <w:rsid w:val="007A21FD"/>
    <w:rsid w:val="007B5CF2"/>
    <w:rsid w:val="007C35B1"/>
    <w:rsid w:val="007C59DD"/>
    <w:rsid w:val="007C777B"/>
    <w:rsid w:val="007E7CA5"/>
    <w:rsid w:val="007F4583"/>
    <w:rsid w:val="007F4D06"/>
    <w:rsid w:val="007F7097"/>
    <w:rsid w:val="00806218"/>
    <w:rsid w:val="008136B6"/>
    <w:rsid w:val="00823F7D"/>
    <w:rsid w:val="00866BF6"/>
    <w:rsid w:val="0088574B"/>
    <w:rsid w:val="008A4614"/>
    <w:rsid w:val="008A4C10"/>
    <w:rsid w:val="008B5B3E"/>
    <w:rsid w:val="008C5FB0"/>
    <w:rsid w:val="008D3191"/>
    <w:rsid w:val="008D37EB"/>
    <w:rsid w:val="008D749C"/>
    <w:rsid w:val="008E45CF"/>
    <w:rsid w:val="008F7467"/>
    <w:rsid w:val="00902454"/>
    <w:rsid w:val="00903536"/>
    <w:rsid w:val="00904CCF"/>
    <w:rsid w:val="00906586"/>
    <w:rsid w:val="00915010"/>
    <w:rsid w:val="00933B07"/>
    <w:rsid w:val="00941046"/>
    <w:rsid w:val="00944D06"/>
    <w:rsid w:val="009633E2"/>
    <w:rsid w:val="00982180"/>
    <w:rsid w:val="009A4EF9"/>
    <w:rsid w:val="009E3B3E"/>
    <w:rsid w:val="009F2C89"/>
    <w:rsid w:val="009F53A3"/>
    <w:rsid w:val="009F72CB"/>
    <w:rsid w:val="00A042C7"/>
    <w:rsid w:val="00A0792A"/>
    <w:rsid w:val="00A1192C"/>
    <w:rsid w:val="00A707E9"/>
    <w:rsid w:val="00A7188A"/>
    <w:rsid w:val="00A7329E"/>
    <w:rsid w:val="00A7648D"/>
    <w:rsid w:val="00AB57E7"/>
    <w:rsid w:val="00AC28B5"/>
    <w:rsid w:val="00AC423C"/>
    <w:rsid w:val="00AD7F87"/>
    <w:rsid w:val="00B12D30"/>
    <w:rsid w:val="00B40083"/>
    <w:rsid w:val="00B44F8B"/>
    <w:rsid w:val="00B829CA"/>
    <w:rsid w:val="00B852FC"/>
    <w:rsid w:val="00B959BE"/>
    <w:rsid w:val="00BA39CA"/>
    <w:rsid w:val="00BB46BC"/>
    <w:rsid w:val="00BC67AB"/>
    <w:rsid w:val="00BD5087"/>
    <w:rsid w:val="00BE15D8"/>
    <w:rsid w:val="00BE65A4"/>
    <w:rsid w:val="00BE6AD1"/>
    <w:rsid w:val="00BE7F6B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6774F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22816"/>
    <w:rsid w:val="00D402B1"/>
    <w:rsid w:val="00D517EB"/>
    <w:rsid w:val="00D51ABF"/>
    <w:rsid w:val="00D54A2E"/>
    <w:rsid w:val="00D6048D"/>
    <w:rsid w:val="00D76532"/>
    <w:rsid w:val="00D92DE6"/>
    <w:rsid w:val="00D932A1"/>
    <w:rsid w:val="00DA56EA"/>
    <w:rsid w:val="00DD2596"/>
    <w:rsid w:val="00DE48FA"/>
    <w:rsid w:val="00DE4B91"/>
    <w:rsid w:val="00E02FD0"/>
    <w:rsid w:val="00E55F26"/>
    <w:rsid w:val="00E61EAB"/>
    <w:rsid w:val="00E84A6F"/>
    <w:rsid w:val="00E87059"/>
    <w:rsid w:val="00E96A69"/>
    <w:rsid w:val="00EA1402"/>
    <w:rsid w:val="00EA446D"/>
    <w:rsid w:val="00EC67C7"/>
    <w:rsid w:val="00ED23C9"/>
    <w:rsid w:val="00ED5097"/>
    <w:rsid w:val="00EE1A07"/>
    <w:rsid w:val="00EE507C"/>
    <w:rsid w:val="00EF4F1B"/>
    <w:rsid w:val="00F01D77"/>
    <w:rsid w:val="00F024B2"/>
    <w:rsid w:val="00F260AF"/>
    <w:rsid w:val="00F57965"/>
    <w:rsid w:val="00F57BFB"/>
    <w:rsid w:val="00FA2D28"/>
    <w:rsid w:val="00FB7864"/>
    <w:rsid w:val="00FC0BFE"/>
    <w:rsid w:val="00FE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04580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C580-50D4-46EC-BD75-1DC1A4D7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セチリジン塩酸塩錠5「BMD」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セチリジン塩酸塩錠5「BMD」</dc:title>
  <dc:creator>BIOWS27</dc:creator>
  <cp:lastModifiedBy>高橋　政行</cp:lastModifiedBy>
  <cp:revision>5</cp:revision>
  <cp:lastPrinted>2020-06-12T05:05:00Z</cp:lastPrinted>
  <dcterms:created xsi:type="dcterms:W3CDTF">2023-03-31T01:23:00Z</dcterms:created>
  <dcterms:modified xsi:type="dcterms:W3CDTF">2024-04-11T08:20:00Z</dcterms:modified>
</cp:coreProperties>
</file>